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D31862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МЕДИАРЕСУРСЫ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4D6841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93C02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F93C02" w:rsidSect="00F93C02">
          <w:footerReference w:type="default" r:id="rId8"/>
          <w:footerReference w:type="first" r:id="rId9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4D6841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4D6841">
        <w:rPr>
          <w:rFonts w:eastAsia="Times New Roman"/>
          <w:sz w:val="24"/>
          <w:szCs w:val="24"/>
        </w:rPr>
        <w:t xml:space="preserve"> </w:t>
      </w: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 xml:space="preserve">-адресу </w:t>
      </w:r>
      <w:hyperlink r:id="rId11" w:history="1">
        <w:r w:rsidRPr="004D6841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4D6841">
        <w:rPr>
          <w:rFonts w:eastAsia="Times New Roman"/>
          <w:sz w:val="24"/>
          <w:szCs w:val="24"/>
        </w:rPr>
        <w:t xml:space="preserve"> </w:t>
      </w: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gramStart"/>
      <w:r w:rsidR="00D31862">
        <w:rPr>
          <w:bCs/>
          <w:color w:val="000000"/>
          <w:sz w:val="24"/>
          <w:szCs w:val="24"/>
        </w:rPr>
        <w:t>Медиаресурсы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471E3A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E96612">
        <w:rPr>
          <w:bCs/>
          <w:color w:val="000000"/>
          <w:sz w:val="24"/>
          <w:szCs w:val="24"/>
        </w:rPr>
        <w:t>5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E96612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0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184557748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Pr="00D31862" w:rsidRDefault="00471E3A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2" w:name="_Toc4695143"/>
      <w:r>
        <w:rPr>
          <w:sz w:val="24"/>
          <w:szCs w:val="24"/>
        </w:rPr>
        <w:t>Ф</w:t>
      </w:r>
      <w:r w:rsidR="00836201" w:rsidRPr="00836201">
        <w:rPr>
          <w:sz w:val="24"/>
          <w:szCs w:val="24"/>
        </w:rPr>
        <w:t>ормирование готовности к выявлению и использованию медиаресурсов; представлений о структуре, свойствах, правовых аспектах медиаресурсов; изучения особенностей развития и функционирования, медиаресурсов и их использования в решении р</w:t>
      </w:r>
      <w:r w:rsidR="00D31862" w:rsidRPr="00D31862">
        <w:rPr>
          <w:sz w:val="24"/>
          <w:szCs w:val="24"/>
        </w:rPr>
        <w:t xml:space="preserve">азнообразных профессиональных </w:t>
      </w:r>
      <w:r w:rsidR="00836201">
        <w:rPr>
          <w:sz w:val="24"/>
          <w:szCs w:val="24"/>
        </w:rPr>
        <w:t>задач</w:t>
      </w:r>
      <w:r w:rsidR="00D31862" w:rsidRPr="00D31862">
        <w:rPr>
          <w:sz w:val="24"/>
          <w:szCs w:val="24"/>
        </w:rPr>
        <w:t>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557749"/>
      <w:r w:rsidRPr="00A355CF">
        <w:rPr>
          <w:sz w:val="24"/>
          <w:szCs w:val="24"/>
        </w:rPr>
        <w:t xml:space="preserve">Место дисциплины в структуре ОП </w:t>
      </w:r>
      <w:bookmarkEnd w:id="2"/>
      <w:r w:rsidR="00313444" w:rsidRPr="00A355CF">
        <w:rPr>
          <w:sz w:val="24"/>
          <w:szCs w:val="24"/>
        </w:rPr>
        <w:t>магистратуры</w:t>
      </w:r>
      <w:bookmarkEnd w:id="3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4557750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D04B96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D04B9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C039AA">
        <w:tc>
          <w:tcPr>
            <w:tcW w:w="2835" w:type="dxa"/>
            <w:vMerge/>
          </w:tcPr>
          <w:p w:rsidR="00966D5C" w:rsidRPr="00966D5C" w:rsidRDefault="00966D5C" w:rsidP="00D04B9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966D5C" w:rsidTr="00C039AA">
        <w:tc>
          <w:tcPr>
            <w:tcW w:w="2835" w:type="dxa"/>
          </w:tcPr>
          <w:p w:rsidR="00836201" w:rsidRPr="00836201" w:rsidRDefault="00836201" w:rsidP="00836201">
            <w:pPr>
              <w:pStyle w:val="Default"/>
            </w:pPr>
            <w:r w:rsidRPr="00836201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      </w:r>
          </w:p>
          <w:p w:rsidR="00281EDF" w:rsidRDefault="00281EDF" w:rsidP="00281EDF">
            <w:pPr>
              <w:pStyle w:val="Default"/>
              <w:jc w:val="both"/>
            </w:pPr>
          </w:p>
        </w:tc>
        <w:tc>
          <w:tcPr>
            <w:tcW w:w="2193" w:type="dxa"/>
          </w:tcPr>
          <w:p w:rsidR="00836201" w:rsidRPr="00966D5C" w:rsidRDefault="0061072B" w:rsidP="0061072B">
            <w:pPr>
              <w:pStyle w:val="Default"/>
              <w:jc w:val="both"/>
            </w:pPr>
            <w:r>
              <w:t xml:space="preserve"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 </w:t>
            </w:r>
          </w:p>
        </w:tc>
        <w:tc>
          <w:tcPr>
            <w:tcW w:w="2185" w:type="dxa"/>
          </w:tcPr>
          <w:p w:rsidR="00281EDF" w:rsidRPr="00966D5C" w:rsidRDefault="0061072B" w:rsidP="0061072B">
            <w:pPr>
              <w:pStyle w:val="Default"/>
              <w:jc w:val="both"/>
            </w:pPr>
            <w:r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</w:tc>
        <w:tc>
          <w:tcPr>
            <w:tcW w:w="2284" w:type="dxa"/>
          </w:tcPr>
          <w:p w:rsidR="00281EDF" w:rsidRPr="00966D5C" w:rsidRDefault="0061072B" w:rsidP="00281EDF">
            <w:pPr>
              <w:pStyle w:val="Default"/>
              <w:jc w:val="both"/>
            </w:pPr>
            <w: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  <w:tr w:rsidR="00836201" w:rsidRPr="00966D5C" w:rsidTr="00C039AA">
        <w:tc>
          <w:tcPr>
            <w:tcW w:w="2835" w:type="dxa"/>
          </w:tcPr>
          <w:p w:rsidR="00836201" w:rsidRPr="00836201" w:rsidRDefault="0061072B" w:rsidP="00836201">
            <w:pPr>
              <w:pStyle w:val="Default"/>
            </w:pPr>
            <w:r>
              <w:t>ПК-6</w:t>
            </w:r>
            <w:r w:rsidR="00836201" w:rsidRPr="00836201">
              <w:t xml:space="preserve">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</w:t>
            </w:r>
            <w:r w:rsidR="00836201" w:rsidRPr="00836201">
              <w:lastRenderedPageBreak/>
              <w:t>координировать взаимодействие с ними, используя как устную, так и письменную коммуникацию.</w:t>
            </w:r>
          </w:p>
        </w:tc>
        <w:tc>
          <w:tcPr>
            <w:tcW w:w="2193" w:type="dxa"/>
          </w:tcPr>
          <w:p w:rsidR="0061072B" w:rsidRDefault="0061072B" w:rsidP="0061072B">
            <w:pPr>
              <w:pStyle w:val="Default"/>
              <w:jc w:val="both"/>
            </w:pPr>
            <w:r>
              <w:lastRenderedPageBreak/>
              <w:t>правила и нормы</w:t>
            </w:r>
          </w:p>
          <w:p w:rsidR="0061072B" w:rsidRDefault="0061072B" w:rsidP="0061072B">
            <w:pPr>
              <w:pStyle w:val="Default"/>
              <w:jc w:val="both"/>
            </w:pPr>
            <w:r>
              <w:t>ведения деловой коммуникации;</w:t>
            </w:r>
          </w:p>
          <w:p w:rsidR="0061072B" w:rsidRDefault="0061072B" w:rsidP="0061072B">
            <w:pPr>
              <w:pStyle w:val="Default"/>
              <w:jc w:val="both"/>
            </w:pPr>
            <w:r>
              <w:t>основные информационные</w:t>
            </w:r>
          </w:p>
          <w:p w:rsidR="0061072B" w:rsidRDefault="0061072B" w:rsidP="0061072B">
            <w:pPr>
              <w:pStyle w:val="Default"/>
              <w:jc w:val="both"/>
            </w:pPr>
            <w:r>
              <w:t>ресурсы для подготовки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медипроекта и меди</w:t>
            </w:r>
            <w:r w:rsidR="00471E3A">
              <w:t>а</w:t>
            </w:r>
            <w:r>
              <w:t>продукта.</w:t>
            </w:r>
          </w:p>
          <w:p w:rsidR="00836201" w:rsidRDefault="00836201" w:rsidP="0061072B">
            <w:pPr>
              <w:pStyle w:val="Default"/>
              <w:jc w:val="both"/>
            </w:pPr>
          </w:p>
        </w:tc>
        <w:tc>
          <w:tcPr>
            <w:tcW w:w="2185" w:type="dxa"/>
          </w:tcPr>
          <w:p w:rsidR="0061072B" w:rsidRDefault="0061072B" w:rsidP="0061072B">
            <w:pPr>
              <w:pStyle w:val="Default"/>
              <w:jc w:val="both"/>
            </w:pPr>
            <w:r>
              <w:t>ориентироваться в</w:t>
            </w:r>
          </w:p>
          <w:p w:rsidR="0061072B" w:rsidRDefault="0061072B" w:rsidP="0061072B">
            <w:pPr>
              <w:pStyle w:val="Default"/>
              <w:jc w:val="both"/>
            </w:pPr>
            <w:r>
              <w:t>информационных ресурсах для</w:t>
            </w:r>
          </w:p>
          <w:p w:rsidR="0061072B" w:rsidRDefault="0061072B" w:rsidP="0061072B">
            <w:pPr>
              <w:pStyle w:val="Default"/>
              <w:jc w:val="both"/>
            </w:pPr>
            <w:r>
              <w:t>подготовки медипроекта 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меди</w:t>
            </w:r>
            <w:r w:rsidR="00471E3A">
              <w:t>а</w:t>
            </w:r>
            <w:r>
              <w:t>продукта; выстраивать</w:t>
            </w:r>
          </w:p>
          <w:p w:rsidR="0061072B" w:rsidRDefault="0061072B" w:rsidP="0061072B">
            <w:pPr>
              <w:pStyle w:val="Default"/>
              <w:jc w:val="both"/>
            </w:pPr>
            <w:r>
              <w:t>эффективную коммуникацию с</w:t>
            </w:r>
          </w:p>
          <w:p w:rsidR="0061072B" w:rsidRDefault="0061072B" w:rsidP="0061072B">
            <w:pPr>
              <w:pStyle w:val="Default"/>
              <w:jc w:val="both"/>
            </w:pPr>
            <w:r>
              <w:lastRenderedPageBreak/>
              <w:t>деловыми партнерами 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участниками проектной</w:t>
            </w:r>
          </w:p>
          <w:p w:rsidR="0061072B" w:rsidRDefault="0061072B" w:rsidP="0061072B">
            <w:pPr>
              <w:pStyle w:val="Default"/>
              <w:jc w:val="both"/>
            </w:pPr>
            <w:r>
              <w:t>деятельности.</w:t>
            </w:r>
          </w:p>
          <w:p w:rsidR="00836201" w:rsidRDefault="00836201" w:rsidP="00281EDF">
            <w:pPr>
              <w:pStyle w:val="Default"/>
              <w:jc w:val="both"/>
            </w:pPr>
          </w:p>
        </w:tc>
        <w:tc>
          <w:tcPr>
            <w:tcW w:w="2284" w:type="dxa"/>
          </w:tcPr>
          <w:p w:rsidR="0061072B" w:rsidRDefault="0061072B" w:rsidP="0061072B">
            <w:pPr>
              <w:pStyle w:val="Default"/>
              <w:jc w:val="both"/>
            </w:pPr>
            <w:r>
              <w:lastRenderedPageBreak/>
              <w:t>технологией</w:t>
            </w:r>
          </w:p>
          <w:p w:rsidR="0061072B" w:rsidRDefault="0061072B" w:rsidP="0061072B">
            <w:pPr>
              <w:pStyle w:val="Default"/>
              <w:jc w:val="both"/>
            </w:pPr>
            <w:r>
              <w:t>ведения деловой коммуникации</w:t>
            </w:r>
          </w:p>
          <w:p w:rsidR="00836201" w:rsidRDefault="0061072B" w:rsidP="0061072B">
            <w:pPr>
              <w:pStyle w:val="Default"/>
              <w:jc w:val="both"/>
            </w:pPr>
            <w:r>
              <w:t>(устной и письменной).</w:t>
            </w:r>
          </w:p>
        </w:tc>
      </w:tr>
    </w:tbl>
    <w:p w:rsidR="00966D5C" w:rsidRPr="00966D5C" w:rsidRDefault="00966D5C" w:rsidP="00D04B96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80129E">
        <w:trPr>
          <w:trHeight w:val="983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информационных потребностей посетителей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557751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9" w:name="_Toc184557752"/>
      <w:r w:rsidRPr="00F93C02">
        <w:rPr>
          <w:sz w:val="24"/>
          <w:szCs w:val="24"/>
        </w:rPr>
        <w:t>4.1. Объем дисциплины</w:t>
      </w:r>
      <w:bookmarkEnd w:id="9"/>
    </w:p>
    <w:p w:rsidR="005B1F5C" w:rsidRDefault="005B1F5C" w:rsidP="00471E3A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80129E">
        <w:rPr>
          <w:sz w:val="24"/>
          <w:szCs w:val="24"/>
        </w:rPr>
        <w:t>7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80129E">
        <w:rPr>
          <w:sz w:val="24"/>
          <w:szCs w:val="24"/>
        </w:rPr>
        <w:t>252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471E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очно</w:t>
      </w:r>
      <w:r w:rsidR="00471E3A">
        <w:rPr>
          <w:rFonts w:eastAsia="TimesNewRoman"/>
          <w:sz w:val="24"/>
          <w:szCs w:val="24"/>
          <w:lang w:eastAsia="zh-CN"/>
        </w:rPr>
        <w:t xml:space="preserve">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78 </w:t>
      </w:r>
      <w:r w:rsidRPr="00395C6F">
        <w:rPr>
          <w:rFonts w:eastAsia="TimesNewRoman"/>
          <w:sz w:val="24"/>
          <w:szCs w:val="24"/>
          <w:lang w:eastAsia="zh-CN"/>
        </w:rPr>
        <w:t>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32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46 часов практических работ) и 120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BE12C7" w:rsidRPr="00BE12C7">
        <w:rPr>
          <w:rFonts w:eastAsia="TimesNewRoman"/>
          <w:sz w:val="24"/>
          <w:szCs w:val="24"/>
          <w:lang w:eastAsia="zh-CN"/>
        </w:rPr>
        <w:t>28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36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471E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80129E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80129E"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80129E">
        <w:rPr>
          <w:rFonts w:eastAsia="TimesNewRoman"/>
          <w:sz w:val="24"/>
          <w:szCs w:val="24"/>
          <w:lang w:eastAsia="zh-CN"/>
        </w:rPr>
        <w:t xml:space="preserve">8 часов практических работ) и 225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BE12C7" w:rsidRPr="00BE12C7"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BE12C7" w:rsidRPr="00BE12C7">
        <w:rPr>
          <w:rFonts w:eastAsia="TimesNewRoman"/>
          <w:sz w:val="24"/>
          <w:szCs w:val="24"/>
          <w:lang w:eastAsia="zh-CN"/>
        </w:rPr>
        <w:t>33</w:t>
      </w:r>
      <w:r w:rsidRPr="00BE12C7">
        <w:rPr>
          <w:rFonts w:eastAsia="TimesNewRoman"/>
          <w:sz w:val="24"/>
          <w:szCs w:val="24"/>
          <w:lang w:eastAsia="zh-CN"/>
        </w:rPr>
        <w:t>,</w:t>
      </w:r>
      <w:r w:rsidR="00BE12C7" w:rsidRPr="00BE12C7">
        <w:rPr>
          <w:rFonts w:eastAsia="TimesNewRoman"/>
          <w:sz w:val="24"/>
          <w:szCs w:val="24"/>
          <w:lang w:eastAsia="zh-CN"/>
        </w:rPr>
        <w:t>3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471E3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471E3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471E3A">
      <w:pPr>
        <w:pStyle w:val="a9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557753"/>
      <w:bookmarkStart w:id="11" w:name="_Toc4695148"/>
      <w:r>
        <w:rPr>
          <w:rFonts w:eastAsia="Calibri"/>
          <w:sz w:val="24"/>
          <w:szCs w:val="24"/>
        </w:rPr>
        <w:lastRenderedPageBreak/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557754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74D81" w:rsidRPr="002644D6" w:rsidTr="00471E3A">
        <w:trPr>
          <w:trHeight w:val="39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9D4356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4356">
              <w:rPr>
                <w:sz w:val="24"/>
                <w:szCs w:val="24"/>
              </w:rPr>
              <w:t>0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9D4356" w:rsidP="009D435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агентства –производители медиаресурсов</w:t>
            </w:r>
            <w:r w:rsidR="00474D81"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Телевизионные медиаресурсы</w:t>
            </w:r>
            <w:r w:rsidR="00474D81" w:rsidRPr="00474D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F034DB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Ресурсы социальных медиа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34D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34D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</w:t>
            </w:r>
            <w:r w:rsidR="00F034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913E37" w:rsidRDefault="009D4356" w:rsidP="00913E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7E4CB0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</w:tbl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557755"/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>
      <w:pPr>
        <w:spacing w:after="160" w:line="259" w:lineRule="auto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br w:type="page"/>
      </w: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851"/>
        <w:gridCol w:w="850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F034DB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2644D6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7E4CB0" w:rsidRPr="002644D6" w:rsidTr="00471E3A">
        <w:tblPrEx>
          <w:tblCellMar>
            <w:top w:w="0" w:type="dxa"/>
            <w:right w:w="0" w:type="dxa"/>
          </w:tblCellMar>
        </w:tblPrEx>
        <w:trPr>
          <w:trHeight w:val="25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F034DB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034DB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7E4C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A74213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контрольных работ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A74213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агентства –производители медиаресурсов</w:t>
            </w:r>
            <w:r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F034D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Телевизионные медиаресурсы</w:t>
            </w:r>
            <w:r w:rsidRPr="00474D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471E3A">
        <w:tblPrEx>
          <w:tblCellMar>
            <w:top w:w="0" w:type="dxa"/>
            <w:right w:w="0" w:type="dxa"/>
          </w:tblCellMar>
        </w:tblPrEx>
        <w:trPr>
          <w:trHeight w:val="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7E4CB0">
            <w:pPr>
              <w:tabs>
                <w:tab w:val="left" w:pos="480"/>
                <w:tab w:val="center" w:pos="547"/>
              </w:tabs>
              <w:spacing w:after="0" w:line="240" w:lineRule="auto"/>
              <w:ind w:left="113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Ресурсы социальных медиа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BE12C7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7E4C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84557756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2644D6" w:rsidTr="00F034DB">
        <w:tc>
          <w:tcPr>
            <w:tcW w:w="6945" w:type="dxa"/>
          </w:tcPr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B23" w:rsidRPr="00471E3A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471E3A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471E3A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E12C7" w:rsidRPr="002644D6" w:rsidTr="00F034DB">
        <w:trPr>
          <w:trHeight w:val="127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1. Медиаресурсы: понятие и классификация</w:t>
            </w:r>
          </w:p>
          <w:p w:rsidR="00F034DB" w:rsidRPr="00471E3A" w:rsidRDefault="00BE12C7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Цифровое информационное пространство как подмножество информационного пространства Информационные ресурсы в традиционной и электронной среде. Мировые, национальные, локальные информационные ресурсы как основа для создания медиаресурсов.</w:t>
            </w:r>
          </w:p>
          <w:p w:rsidR="00BE12C7" w:rsidRPr="00471E3A" w:rsidRDefault="00BE12C7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Медийные информационные ресурсы. Классификация. Состав, структура. Категории создателей медийных ресурсов.</w:t>
            </w:r>
          </w:p>
        </w:tc>
        <w:tc>
          <w:tcPr>
            <w:tcW w:w="4820" w:type="dxa"/>
            <w:vMerge w:val="restart"/>
          </w:tcPr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b/>
              </w:rPr>
              <w:t>Формируемые компетенции:</w:t>
            </w:r>
            <w:r w:rsidRPr="00471E3A">
              <w:t xml:space="preserve"> УК-2, ПК-6.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t>Знать:</w:t>
            </w:r>
            <w:r w:rsidRPr="00471E3A">
              <w:t xml:space="preserve">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 </w:t>
            </w:r>
            <w:r w:rsidRPr="00471E3A">
              <w:tab/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Правила и нормы ведения деловой коммуникации; основные информационные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ресурсы для подготовки медипроекта и меди</w:t>
            </w:r>
            <w:r w:rsidR="00471E3A" w:rsidRPr="00471E3A">
              <w:t>а</w:t>
            </w:r>
            <w:r w:rsidRPr="00471E3A">
              <w:t>продукта.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t>Уметь:</w:t>
            </w:r>
            <w:r w:rsidRPr="00471E3A">
              <w:t xml:space="preserve">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Ориентироваться в информационных ресурсах для подготовки медипроекта и меди</w:t>
            </w:r>
            <w:r w:rsidR="00471E3A" w:rsidRPr="00471E3A">
              <w:t>а</w:t>
            </w:r>
            <w:r w:rsidRPr="00471E3A">
              <w:t>продукта; выстраивать эффективную коммуникацию с деловыми партнерами и участниками проектной деятельности.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lastRenderedPageBreak/>
              <w:t xml:space="preserve">Владеть: </w:t>
            </w:r>
            <w:r w:rsidRPr="00471E3A">
              <w:rPr>
                <w:i/>
              </w:rPr>
              <w:tab/>
            </w:r>
            <w:r w:rsidRPr="00471E3A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деятельности. Технологией ведения деловой коммуникации (устной и письменной).</w:t>
            </w:r>
          </w:p>
          <w:p w:rsidR="00BE12C7" w:rsidRPr="00471E3A" w:rsidRDefault="00BE12C7" w:rsidP="00F034DB">
            <w:pPr>
              <w:pStyle w:val="Default"/>
              <w:jc w:val="both"/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1191"/>
        </w:trPr>
        <w:tc>
          <w:tcPr>
            <w:tcW w:w="6945" w:type="dxa"/>
          </w:tcPr>
          <w:p w:rsidR="00BE12C7" w:rsidRPr="00471E3A" w:rsidRDefault="00BE12C7" w:rsidP="0054408A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2. Правовые аспекты функционирования медиаресурсов</w:t>
            </w:r>
          </w:p>
          <w:p w:rsidR="00BE12C7" w:rsidRPr="00471E3A" w:rsidRDefault="0007718F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Информационная сфера как объект правового регулирования. Российское законодательство о СМИ. Свобода массовой информации. Понятие о цензуре. Принципы правового регулирования медиаресурсов. Особенности правоотношений в сфере </w:t>
            </w:r>
            <w:r w:rsidR="00F034DB" w:rsidRPr="00471E3A">
              <w:rPr>
                <w:sz w:val="24"/>
                <w:szCs w:val="24"/>
              </w:rPr>
              <w:t>распространения медиаресурсов</w:t>
            </w:r>
            <w:r w:rsidRPr="00471E3A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624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3. Информационные агентства – производители медиаресурсов</w:t>
            </w:r>
          </w:p>
          <w:p w:rsidR="0007718F" w:rsidRPr="00471E3A" w:rsidRDefault="0007718F" w:rsidP="00BE12C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Понятие «информационное агентство». История информационных агентств. Типы информационных агентств и специфика медиаресурсов. Типологические признаки информационных агентств. Критерии, обязательные для информационных агентств. Информационные агентства России. Медиаресурсы информационных агентств.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206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4. Печатные ресурсы</w:t>
            </w:r>
          </w:p>
          <w:p w:rsidR="0007718F" w:rsidRPr="00471E3A" w:rsidRDefault="0007718F" w:rsidP="00BE12C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Суть понятия пресса. Типология прессы. Газета как тип издания. Еженедельник и ежедневная газета: общее и особенное. Основные тенденции развития современной газетной периодики. Общеполитические и специализированные газеты. Журнал как тип издания. Типологическая структура журналов в условиях становления информационного общества. Деловая и корпоративная периодика.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E12C7" w:rsidRPr="002644D6" w:rsidTr="00F034DB">
        <w:trPr>
          <w:trHeight w:val="699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5. Телевизионные (</w:t>
            </w:r>
            <w:proofErr w:type="spellStart"/>
            <w:r w:rsidRPr="00471E3A">
              <w:rPr>
                <w:b/>
                <w:sz w:val="24"/>
                <w:szCs w:val="24"/>
              </w:rPr>
              <w:t>видеоресурсы</w:t>
            </w:r>
            <w:proofErr w:type="spellEnd"/>
            <w:r w:rsidRPr="00471E3A">
              <w:rPr>
                <w:b/>
                <w:sz w:val="24"/>
                <w:szCs w:val="24"/>
              </w:rPr>
              <w:t>)</w:t>
            </w:r>
          </w:p>
          <w:p w:rsidR="0007718F" w:rsidRPr="00471E3A" w:rsidRDefault="0007718F" w:rsidP="00B54522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Системные и структурные качества телевидения. Дифференциация телевидения по характеру аудитории: общероссийское, региональное, местное. Предметно-тематическая дифференциация: универсальные и специализированные. По целевому назначению: информационное, аналитические (</w:t>
            </w:r>
            <w:proofErr w:type="spellStart"/>
            <w:r w:rsidRPr="00471E3A">
              <w:rPr>
                <w:sz w:val="24"/>
                <w:szCs w:val="24"/>
              </w:rPr>
              <w:t>расследовательское</w:t>
            </w:r>
            <w:proofErr w:type="spellEnd"/>
            <w:r w:rsidRPr="00471E3A">
              <w:rPr>
                <w:sz w:val="24"/>
                <w:szCs w:val="24"/>
              </w:rPr>
              <w:t>), развлекательное и др. По способу трансляции: эфирное, спутниковое, кабельное, кассетное. По формам собственности и способам финансирования.</w:t>
            </w:r>
            <w:r w:rsidR="00B54522" w:rsidRPr="00471E3A">
              <w:rPr>
                <w:sz w:val="24"/>
                <w:szCs w:val="24"/>
              </w:rPr>
              <w:t xml:space="preserve"> Медиаресурсы телевидения. Особенности формирования и распространения медиаресурсов телевидения.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F03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устный опрос ситуационное задание</w:t>
            </w:r>
          </w:p>
        </w:tc>
      </w:tr>
      <w:tr w:rsidR="00BE12C7" w:rsidRPr="002644D6" w:rsidTr="00F034DB">
        <w:trPr>
          <w:trHeight w:val="2608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6. Радиоресурсы</w:t>
            </w:r>
          </w:p>
          <w:p w:rsidR="0007718F" w:rsidRPr="00471E3A" w:rsidRDefault="0007718F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Радиовещание в структуре СМИ. Трансформация системы государственного радиовещания. Развитие сети коммерческих радиостанций. Дифференциация по характеру аудитории, функциональным характеристикам, тематической специализации.</w:t>
            </w:r>
            <w:r w:rsidR="00F034DB" w:rsidRPr="00471E3A">
              <w:rPr>
                <w:sz w:val="24"/>
                <w:szCs w:val="24"/>
              </w:rPr>
              <w:t xml:space="preserve"> 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Виды радиоресурсов. Архив как радиоресурс. Онлайн-</w:t>
            </w:r>
            <w:proofErr w:type="spellStart"/>
            <w:r w:rsidRPr="00471E3A">
              <w:rPr>
                <w:sz w:val="24"/>
                <w:szCs w:val="24"/>
              </w:rPr>
              <w:t>радиоресурсы</w:t>
            </w:r>
            <w:proofErr w:type="spellEnd"/>
            <w:r w:rsidRPr="00471E3A">
              <w:rPr>
                <w:sz w:val="24"/>
                <w:szCs w:val="24"/>
              </w:rPr>
              <w:t xml:space="preserve">. Особенности формирования и распространения медиаресурсов радио. 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2263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7. Цифровые медиаресурсы</w:t>
            </w:r>
          </w:p>
          <w:p w:rsidR="00F034DB" w:rsidRPr="00471E3A" w:rsidRDefault="0007718F" w:rsidP="00F034DB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СМИ среди видов социальной коммуникации в Интернете. Интернет-СМИ как часть </w:t>
            </w:r>
            <w:proofErr w:type="spellStart"/>
            <w:r w:rsidRPr="00471E3A">
              <w:rPr>
                <w:sz w:val="24"/>
                <w:szCs w:val="24"/>
              </w:rPr>
              <w:t>медиасистемы</w:t>
            </w:r>
            <w:proofErr w:type="spellEnd"/>
            <w:r w:rsidRPr="00471E3A">
              <w:rPr>
                <w:sz w:val="24"/>
                <w:szCs w:val="24"/>
              </w:rPr>
              <w:t>. Типы Интернет-СМИ, дифференциация по тематике, целевому назначению, характеру аудитории. «Старые» СМИ в новой медийной среде. Конвергенция и Интернет-СМИ</w:t>
            </w:r>
            <w:r w:rsidR="00F034DB" w:rsidRPr="00471E3A">
              <w:rPr>
                <w:sz w:val="24"/>
                <w:szCs w:val="24"/>
              </w:rPr>
              <w:t>.</w:t>
            </w:r>
            <w:r w:rsidRPr="00471E3A">
              <w:rPr>
                <w:sz w:val="24"/>
                <w:szCs w:val="24"/>
              </w:rPr>
              <w:t xml:space="preserve"> Особенности контента интернет-СМИ. </w:t>
            </w:r>
            <w:r w:rsidR="00F034DB" w:rsidRPr="00471E3A">
              <w:rPr>
                <w:sz w:val="24"/>
                <w:szCs w:val="24"/>
              </w:rPr>
              <w:t>Цифровые медиаресурсы: виды и особенности формирования.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BE12C7" w:rsidRPr="002644D6" w:rsidTr="00F034DB">
        <w:trPr>
          <w:trHeight w:val="1685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8. Научные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Научные медиаресурсы, сущность и виды. Научные </w:t>
            </w:r>
            <w:proofErr w:type="spellStart"/>
            <w:r w:rsidRPr="00471E3A">
              <w:rPr>
                <w:sz w:val="24"/>
                <w:szCs w:val="24"/>
              </w:rPr>
              <w:t>медиаресурсы</w:t>
            </w:r>
            <w:proofErr w:type="spellEnd"/>
            <w:r w:rsidRPr="00471E3A">
              <w:rPr>
                <w:sz w:val="24"/>
                <w:szCs w:val="24"/>
              </w:rPr>
              <w:t xml:space="preserve">: </w:t>
            </w:r>
            <w:proofErr w:type="spellStart"/>
            <w:r w:rsidRPr="00471E3A">
              <w:rPr>
                <w:sz w:val="24"/>
                <w:szCs w:val="24"/>
              </w:rPr>
              <w:t>Постнаука</w:t>
            </w:r>
            <w:proofErr w:type="spellEnd"/>
            <w:r w:rsidRPr="00471E3A">
              <w:rPr>
                <w:sz w:val="24"/>
                <w:szCs w:val="24"/>
              </w:rPr>
              <w:t xml:space="preserve">, Открытая наука популярная механика, Наука и жизнь и другие. Базы научного цитирования РИНЦ, </w:t>
            </w:r>
            <w:r w:rsidRPr="00471E3A">
              <w:rPr>
                <w:sz w:val="24"/>
                <w:szCs w:val="24"/>
                <w:lang w:val="en-US"/>
              </w:rPr>
              <w:t>Web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of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Science</w:t>
            </w:r>
            <w:r w:rsidRPr="00471E3A">
              <w:rPr>
                <w:sz w:val="24"/>
                <w:szCs w:val="24"/>
              </w:rPr>
              <w:t>. Сайты научных журналов как агрегаторы научных медиаресурсов.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BE12C7" w:rsidRPr="002644D6" w:rsidTr="00F034DB">
        <w:trPr>
          <w:trHeight w:val="1979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9. Образовательные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Образовательные медиаресурсы, их виды. Офлайн и онлайн медиаресурсы. Особенности образовательных медиаресурсов для среднего, средне-профессионального и высшего образования. Базы и банки</w:t>
            </w:r>
            <w:r w:rsidR="00F034DB" w:rsidRPr="00471E3A">
              <w:rPr>
                <w:sz w:val="24"/>
                <w:szCs w:val="24"/>
              </w:rPr>
              <w:t xml:space="preserve"> данных, электронные библиотеки, </w:t>
            </w:r>
            <w:r w:rsidRPr="00471E3A">
              <w:rPr>
                <w:sz w:val="24"/>
                <w:szCs w:val="24"/>
              </w:rPr>
              <w:t xml:space="preserve">для образовательной деятельности. </w:t>
            </w:r>
            <w:r w:rsidR="00F034DB" w:rsidRPr="00471E3A">
              <w:rPr>
                <w:sz w:val="24"/>
                <w:szCs w:val="24"/>
              </w:rPr>
              <w:t>Электронные библиотечные системы как комплексный медиаресурс.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BE12C7" w:rsidRPr="002644D6" w:rsidTr="00F034DB">
        <w:trPr>
          <w:trHeight w:val="1417"/>
        </w:trPr>
        <w:tc>
          <w:tcPr>
            <w:tcW w:w="6945" w:type="dxa"/>
          </w:tcPr>
          <w:p w:rsidR="00BE12C7" w:rsidRPr="00471E3A" w:rsidRDefault="00BE12C7" w:rsidP="00F034DB">
            <w:p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10. Справочные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Виды справочных медиаресурсов. </w:t>
            </w:r>
            <w:r w:rsidR="00F034DB" w:rsidRPr="00471E3A">
              <w:rPr>
                <w:sz w:val="24"/>
                <w:szCs w:val="24"/>
              </w:rPr>
              <w:t xml:space="preserve">Офлайн и онлайн справочные медиаресурсы. Универсальные и отраслевые справочные медиаресурсы, их особенности. </w:t>
            </w:r>
            <w:r w:rsidRPr="00471E3A">
              <w:rPr>
                <w:sz w:val="24"/>
                <w:szCs w:val="24"/>
              </w:rPr>
              <w:t xml:space="preserve">Электронные словари, справочники и энциклопедии как медиаресурсы. 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BE12C7" w:rsidRPr="002644D6" w:rsidTr="00F034DB">
        <w:trPr>
          <w:trHeight w:val="1695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 xml:space="preserve">Тема 11. </w:t>
            </w:r>
            <w:r w:rsidR="00F034DB" w:rsidRPr="00471E3A">
              <w:rPr>
                <w:b/>
                <w:sz w:val="24"/>
                <w:szCs w:val="24"/>
              </w:rPr>
              <w:t>Ресурсы социальных медиа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Роль медиаресурсов в социальных сетях. Социальные сети и мессенджеры как производители и распространители медиаресурсов. Виды медиаресурсов для социальных сетей и мессенджеров.  Посты, репосты. Лента как медиаресурс. Стримминг. Подкастинг.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BE12C7" w:rsidRPr="002644D6" w:rsidTr="00471E3A">
        <w:trPr>
          <w:trHeight w:val="155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12. Вебометрические основы анализа медиаресурсов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Инструменты вебометрического анализа медиаресурсов. Возможности вебометрического анализа: цели и функции. Изучение медиаресурсов инструментами веб-аналитики. Использование Яндекс-Метрика, </w:t>
            </w:r>
            <w:r w:rsidRPr="00471E3A">
              <w:rPr>
                <w:sz w:val="24"/>
                <w:szCs w:val="24"/>
                <w:lang w:val="en-US"/>
              </w:rPr>
              <w:t>Google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Analytics</w:t>
            </w:r>
            <w:r w:rsidRPr="00471E3A">
              <w:rPr>
                <w:sz w:val="24"/>
                <w:szCs w:val="24"/>
              </w:rPr>
              <w:t xml:space="preserve">, Рейтинг </w:t>
            </w:r>
            <w:r w:rsidRPr="00471E3A">
              <w:rPr>
                <w:sz w:val="24"/>
                <w:szCs w:val="24"/>
                <w:lang w:val="en-US"/>
              </w:rPr>
              <w:t>Mail</w:t>
            </w:r>
            <w:r w:rsidRPr="00471E3A">
              <w:rPr>
                <w:sz w:val="24"/>
                <w:szCs w:val="24"/>
              </w:rPr>
              <w:t>.</w:t>
            </w:r>
            <w:proofErr w:type="spellStart"/>
            <w:r w:rsidRPr="00471E3A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71E3A">
              <w:rPr>
                <w:sz w:val="24"/>
                <w:szCs w:val="24"/>
              </w:rPr>
              <w:t xml:space="preserve"> для анализа медиаресурсов.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6" w:name="_Toc4695150"/>
      <w:bookmarkStart w:id="17" w:name="_Toc184557757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8" w:name="_Toc4695151"/>
      <w:bookmarkStart w:id="19" w:name="_Toc184557758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471E3A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84557759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2" w:name="_Toc4695153"/>
      <w:bookmarkStart w:id="23" w:name="_Toc184557760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4" w:name="_Toc4695154"/>
      <w:bookmarkStart w:id="25" w:name="_Toc184557761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4"/>
      <w:r w:rsidR="00395C6F">
        <w:rPr>
          <w:sz w:val="24"/>
          <w:szCs w:val="24"/>
        </w:rPr>
        <w:t>самостоятельной работы обучающихся</w:t>
      </w:r>
      <w:bookmarkEnd w:id="25"/>
    </w:p>
    <w:p w:rsidR="009652B5" w:rsidRPr="009652B5" w:rsidRDefault="009652B5" w:rsidP="001C4E3F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07718F">
        <w:rPr>
          <w:sz w:val="24"/>
        </w:rPr>
        <w:t>Медиаресурсы</w:t>
      </w:r>
      <w:r w:rsidRPr="009652B5">
        <w:rPr>
          <w:sz w:val="24"/>
        </w:rPr>
        <w:t>» размещены в «Электронной образовательной среде» (</w:t>
      </w:r>
      <w:r w:rsidR="0007718F" w:rsidRPr="0007718F">
        <w:rPr>
          <w:sz w:val="24"/>
        </w:rPr>
        <w:t>https://edu2020.kemgik.ru/course/view.php?id=3559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84557762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184557763"/>
      <w:bookmarkStart w:id="29" w:name="_Toc4695158"/>
      <w:r w:rsidRPr="002644D6">
        <w:rPr>
          <w:sz w:val="24"/>
          <w:szCs w:val="24"/>
        </w:rPr>
        <w:t>Организация самостоятельной работы</w:t>
      </w:r>
      <w:bookmarkEnd w:id="28"/>
      <w:r w:rsidRPr="002644D6">
        <w:rPr>
          <w:sz w:val="24"/>
          <w:szCs w:val="24"/>
        </w:rPr>
        <w:t xml:space="preserve"> </w:t>
      </w:r>
      <w:bookmarkEnd w:id="29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0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r w:rsidR="000E581D">
        <w:rPr>
          <w:b/>
          <w:sz w:val="24"/>
          <w:szCs w:val="24"/>
        </w:rPr>
        <w:t xml:space="preserve">очной и </w:t>
      </w:r>
      <w:r w:rsidRPr="00F93C02">
        <w:rPr>
          <w:b/>
          <w:sz w:val="24"/>
          <w:szCs w:val="24"/>
        </w:rPr>
        <w:t xml:space="preserve">заочной формы обучения </w:t>
      </w:r>
      <w:bookmarkEnd w:id="30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471E3A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F034D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34D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F034DB" w:rsidRPr="002644D6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Информац</w:t>
            </w:r>
            <w:r w:rsidR="00B54522">
              <w:rPr>
                <w:color w:val="000000"/>
                <w:sz w:val="24"/>
                <w:szCs w:val="24"/>
              </w:rPr>
              <w:t>ионные агентства –производители м</w:t>
            </w:r>
            <w:r w:rsidRPr="00F034DB">
              <w:rPr>
                <w:color w:val="000000"/>
                <w:sz w:val="24"/>
                <w:szCs w:val="24"/>
              </w:rPr>
              <w:t xml:space="preserve">едиаресурсов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34DB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Печатные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 xml:space="preserve">Телевизионные медиаресурсы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lastRenderedPageBreak/>
              <w:t>Радиоресурсы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Цифровые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Научные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101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Справочные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6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Ресурсы социальных медиа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F034DB" w:rsidTr="00B54522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F034DB">
              <w:rPr>
                <w:rFonts w:eastAsia="Calibri"/>
                <w:sz w:val="24"/>
                <w:szCs w:val="24"/>
              </w:rPr>
              <w:t>Подготовка</w:t>
            </w:r>
            <w:r w:rsidRPr="00F034DB">
              <w:rPr>
                <w:color w:val="000000"/>
                <w:sz w:val="24"/>
                <w:szCs w:val="24"/>
              </w:rPr>
              <w:t xml:space="preserve"> к экзамену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471E3A" w:rsidRDefault="00471E3A" w:rsidP="00471E3A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1" w:name="_Toc4695162"/>
      <w:bookmarkStart w:id="32" w:name="_Toc184557764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395C6F" w:rsidRDefault="00395C6F" w:rsidP="00471E3A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07718F">
        <w:rPr>
          <w:sz w:val="24"/>
        </w:rPr>
        <w:t>https://edu2020.kemgik.ru/course/view.php?id=3559</w:t>
      </w:r>
      <w:r w:rsidRPr="0009357D">
        <w:rPr>
          <w:sz w:val="24"/>
        </w:rPr>
        <w:t xml:space="preserve">). </w:t>
      </w:r>
    </w:p>
    <w:p w:rsidR="00471E3A" w:rsidRPr="0009357D" w:rsidRDefault="00471E3A" w:rsidP="00471E3A">
      <w:pPr>
        <w:pStyle w:val="a9"/>
        <w:spacing w:after="0" w:line="275" w:lineRule="exact"/>
        <w:ind w:firstLine="709"/>
        <w:jc w:val="both"/>
        <w:rPr>
          <w:b/>
          <w:sz w:val="24"/>
        </w:rPr>
      </w:pPr>
    </w:p>
    <w:p w:rsidR="005F316F" w:rsidRPr="00F93C02" w:rsidRDefault="005F316F" w:rsidP="00471E3A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3" w:name="_Toc184557765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3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4" w:name="_Toc184557766"/>
      <w:r>
        <w:rPr>
          <w:sz w:val="24"/>
          <w:szCs w:val="24"/>
        </w:rPr>
        <w:t xml:space="preserve">8.1. </w:t>
      </w:r>
      <w:bookmarkStart w:id="35" w:name="_Toc4695169"/>
      <w:r w:rsidR="004416B7" w:rsidRPr="002644D6">
        <w:rPr>
          <w:sz w:val="24"/>
          <w:szCs w:val="24"/>
        </w:rPr>
        <w:t>Основная литература:</w:t>
      </w:r>
      <w:bookmarkEnd w:id="34"/>
      <w:bookmarkEnd w:id="35"/>
    </w:p>
    <w:p w:rsidR="00F034DB" w:rsidRPr="00F034DB" w:rsidRDefault="00F034DB" w:rsidP="00E96612">
      <w:pPr>
        <w:pStyle w:val="a4"/>
        <w:numPr>
          <w:ilvl w:val="0"/>
          <w:numId w:val="46"/>
        </w:numPr>
        <w:spacing w:after="0" w:line="240" w:lineRule="auto"/>
        <w:ind w:left="0" w:firstLine="360"/>
        <w:jc w:val="both"/>
        <w:rPr>
          <w:sz w:val="24"/>
          <w:szCs w:val="24"/>
        </w:rPr>
      </w:pPr>
      <w:bookmarkStart w:id="36" w:name="_Toc4695170"/>
      <w:proofErr w:type="gramStart"/>
      <w:r w:rsidRPr="00F034DB">
        <w:rPr>
          <w:sz w:val="24"/>
          <w:szCs w:val="24"/>
        </w:rPr>
        <w:t>Медиа :</w:t>
      </w:r>
      <w:proofErr w:type="gramEnd"/>
      <w:r w:rsidRPr="00F034DB">
        <w:rPr>
          <w:sz w:val="24"/>
          <w:szCs w:val="24"/>
        </w:rPr>
        <w:t xml:space="preserve"> введение : учебник / П. </w:t>
      </w:r>
      <w:proofErr w:type="spellStart"/>
      <w:r w:rsidRPr="00F034DB">
        <w:rPr>
          <w:sz w:val="24"/>
          <w:szCs w:val="24"/>
        </w:rPr>
        <w:t>Барвайз</w:t>
      </w:r>
      <w:proofErr w:type="spellEnd"/>
      <w:r w:rsidRPr="00F034DB">
        <w:rPr>
          <w:sz w:val="24"/>
          <w:szCs w:val="24"/>
        </w:rPr>
        <w:t xml:space="preserve">, Н. </w:t>
      </w:r>
      <w:proofErr w:type="spellStart"/>
      <w:r w:rsidRPr="00F034DB">
        <w:rPr>
          <w:sz w:val="24"/>
          <w:szCs w:val="24"/>
        </w:rPr>
        <w:t>Блейн</w:t>
      </w:r>
      <w:proofErr w:type="spellEnd"/>
      <w:r w:rsidRPr="00F034DB">
        <w:rPr>
          <w:sz w:val="24"/>
          <w:szCs w:val="24"/>
        </w:rPr>
        <w:t xml:space="preserve">, О. </w:t>
      </w:r>
      <w:proofErr w:type="spellStart"/>
      <w:r w:rsidRPr="00F034DB">
        <w:rPr>
          <w:sz w:val="24"/>
          <w:szCs w:val="24"/>
        </w:rPr>
        <w:t>Бойт-Барретт</w:t>
      </w:r>
      <w:proofErr w:type="spellEnd"/>
      <w:r w:rsidRPr="00F034DB">
        <w:rPr>
          <w:sz w:val="24"/>
          <w:szCs w:val="24"/>
        </w:rPr>
        <w:t xml:space="preserve"> [и др.] ; ред. А. </w:t>
      </w:r>
      <w:proofErr w:type="spellStart"/>
      <w:r w:rsidRPr="00F034DB">
        <w:rPr>
          <w:sz w:val="24"/>
          <w:szCs w:val="24"/>
        </w:rPr>
        <w:t>Бриггз</w:t>
      </w:r>
      <w:proofErr w:type="spellEnd"/>
      <w:r w:rsidRPr="00F034DB">
        <w:rPr>
          <w:sz w:val="24"/>
          <w:szCs w:val="24"/>
        </w:rPr>
        <w:t xml:space="preserve">, П. </w:t>
      </w:r>
      <w:proofErr w:type="spellStart"/>
      <w:r w:rsidRPr="00F034DB">
        <w:rPr>
          <w:sz w:val="24"/>
          <w:szCs w:val="24"/>
        </w:rPr>
        <w:t>Кобли</w:t>
      </w:r>
      <w:proofErr w:type="spellEnd"/>
      <w:r w:rsidRPr="00F034DB">
        <w:rPr>
          <w:sz w:val="24"/>
          <w:szCs w:val="24"/>
        </w:rPr>
        <w:t xml:space="preserve"> ; пер. Ю. В. </w:t>
      </w:r>
      <w:proofErr w:type="spellStart"/>
      <w:r w:rsidRPr="00F034DB">
        <w:rPr>
          <w:sz w:val="24"/>
          <w:szCs w:val="24"/>
        </w:rPr>
        <w:t>Никуличев</w:t>
      </w:r>
      <w:proofErr w:type="spellEnd"/>
      <w:r w:rsidRPr="00F034DB">
        <w:rPr>
          <w:sz w:val="24"/>
          <w:szCs w:val="24"/>
        </w:rPr>
        <w:t xml:space="preserve">. – 2-е изд. – </w:t>
      </w:r>
      <w:proofErr w:type="gramStart"/>
      <w:r w:rsidRPr="00F034DB">
        <w:rPr>
          <w:sz w:val="24"/>
          <w:szCs w:val="24"/>
        </w:rPr>
        <w:t>Моск</w:t>
      </w:r>
      <w:r w:rsidR="00B54522">
        <w:rPr>
          <w:sz w:val="24"/>
          <w:szCs w:val="24"/>
        </w:rPr>
        <w:t>ва :</w:t>
      </w:r>
      <w:proofErr w:type="gramEnd"/>
      <w:r w:rsidR="00B54522">
        <w:rPr>
          <w:sz w:val="24"/>
          <w:szCs w:val="24"/>
        </w:rPr>
        <w:t xml:space="preserve"> </w:t>
      </w:r>
      <w:proofErr w:type="spellStart"/>
      <w:r w:rsidR="00B54522">
        <w:rPr>
          <w:sz w:val="24"/>
          <w:szCs w:val="24"/>
        </w:rPr>
        <w:t>Юнити</w:t>
      </w:r>
      <w:proofErr w:type="spellEnd"/>
      <w:r w:rsidR="00B54522">
        <w:rPr>
          <w:sz w:val="24"/>
          <w:szCs w:val="24"/>
        </w:rPr>
        <w:t>-Дана, 2017. – 552 с.</w:t>
      </w:r>
      <w:r w:rsidRPr="00F034DB">
        <w:rPr>
          <w:sz w:val="24"/>
          <w:szCs w:val="24"/>
        </w:rPr>
        <w:t xml:space="preserve"> URL: https://biblioclub.ru/index.php?page=book&amp;id=684921 (дата обращения: 08.</w:t>
      </w:r>
      <w:r w:rsidR="00B54522">
        <w:rPr>
          <w:sz w:val="24"/>
          <w:szCs w:val="24"/>
        </w:rPr>
        <w:t>02.2024)</w:t>
      </w:r>
      <w:r w:rsidRPr="00F034DB">
        <w:rPr>
          <w:sz w:val="24"/>
          <w:szCs w:val="24"/>
        </w:rPr>
        <w:t xml:space="preserve">. – </w:t>
      </w:r>
      <w:proofErr w:type="gramStart"/>
      <w:r w:rsidRPr="00F034DB">
        <w:rPr>
          <w:sz w:val="24"/>
          <w:szCs w:val="24"/>
        </w:rPr>
        <w:t>Текст :</w:t>
      </w:r>
      <w:proofErr w:type="gramEnd"/>
      <w:r w:rsidRPr="00F034DB">
        <w:rPr>
          <w:sz w:val="24"/>
          <w:szCs w:val="24"/>
        </w:rPr>
        <w:t xml:space="preserve"> электронный.</w:t>
      </w:r>
    </w:p>
    <w:p w:rsidR="00F034DB" w:rsidRPr="00F034DB" w:rsidRDefault="00F034DB" w:rsidP="00E96612">
      <w:pPr>
        <w:pStyle w:val="a4"/>
        <w:numPr>
          <w:ilvl w:val="0"/>
          <w:numId w:val="46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F034DB">
        <w:rPr>
          <w:sz w:val="24"/>
          <w:szCs w:val="24"/>
        </w:rPr>
        <w:t xml:space="preserve">Мультимедийная </w:t>
      </w:r>
      <w:proofErr w:type="gramStart"/>
      <w:r w:rsidRPr="00F034DB">
        <w:rPr>
          <w:sz w:val="24"/>
          <w:szCs w:val="24"/>
        </w:rPr>
        <w:t>журналистика :</w:t>
      </w:r>
      <w:proofErr w:type="gramEnd"/>
      <w:r w:rsidRPr="00F034DB">
        <w:rPr>
          <w:sz w:val="24"/>
          <w:szCs w:val="24"/>
        </w:rPr>
        <w:t xml:space="preserve"> учебник для вузов / С. А. </w:t>
      </w:r>
      <w:proofErr w:type="spellStart"/>
      <w:r w:rsidRPr="00F034DB">
        <w:rPr>
          <w:sz w:val="24"/>
          <w:szCs w:val="24"/>
        </w:rPr>
        <w:t>Шомова</w:t>
      </w:r>
      <w:proofErr w:type="spellEnd"/>
      <w:r w:rsidRPr="00F034DB">
        <w:rPr>
          <w:sz w:val="24"/>
          <w:szCs w:val="24"/>
        </w:rPr>
        <w:t>, А. А. Мирошниченко, А. Г. </w:t>
      </w:r>
      <w:proofErr w:type="spellStart"/>
      <w:r w:rsidRPr="00F034DB">
        <w:rPr>
          <w:sz w:val="24"/>
          <w:szCs w:val="24"/>
        </w:rPr>
        <w:t>Качкаева</w:t>
      </w:r>
      <w:proofErr w:type="spellEnd"/>
      <w:r w:rsidRPr="00F034DB">
        <w:rPr>
          <w:sz w:val="24"/>
          <w:szCs w:val="24"/>
        </w:rPr>
        <w:t>, Е. Г. Лапина-</w:t>
      </w:r>
      <w:proofErr w:type="spellStart"/>
      <w:r w:rsidRPr="00F034DB">
        <w:rPr>
          <w:sz w:val="24"/>
          <w:szCs w:val="24"/>
        </w:rPr>
        <w:t>Кратасюк</w:t>
      </w:r>
      <w:proofErr w:type="spellEnd"/>
      <w:r w:rsidRPr="00F034DB">
        <w:rPr>
          <w:sz w:val="24"/>
          <w:szCs w:val="24"/>
        </w:rPr>
        <w:t xml:space="preserve"> ; под общ. ред. А. Г. </w:t>
      </w:r>
      <w:proofErr w:type="spellStart"/>
      <w:r w:rsidRPr="00F034DB">
        <w:rPr>
          <w:sz w:val="24"/>
          <w:szCs w:val="24"/>
        </w:rPr>
        <w:t>Качкаевой</w:t>
      </w:r>
      <w:proofErr w:type="spellEnd"/>
      <w:r w:rsidRPr="00F034DB">
        <w:rPr>
          <w:sz w:val="24"/>
          <w:szCs w:val="24"/>
        </w:rPr>
        <w:t xml:space="preserve">, С. А. </w:t>
      </w:r>
      <w:proofErr w:type="spellStart"/>
      <w:r w:rsidRPr="00F034DB">
        <w:rPr>
          <w:sz w:val="24"/>
          <w:szCs w:val="24"/>
        </w:rPr>
        <w:t>Шомовой</w:t>
      </w:r>
      <w:proofErr w:type="spellEnd"/>
      <w:r w:rsidRPr="00F034DB">
        <w:rPr>
          <w:sz w:val="24"/>
          <w:szCs w:val="24"/>
        </w:rPr>
        <w:t xml:space="preserve">. – </w:t>
      </w:r>
      <w:proofErr w:type="gramStart"/>
      <w:r w:rsidRPr="00F034DB">
        <w:rPr>
          <w:sz w:val="24"/>
          <w:szCs w:val="24"/>
        </w:rPr>
        <w:t>Москва :</w:t>
      </w:r>
      <w:proofErr w:type="gramEnd"/>
      <w:r w:rsidRPr="00F034DB">
        <w:rPr>
          <w:sz w:val="24"/>
          <w:szCs w:val="24"/>
        </w:rPr>
        <w:t xml:space="preserve"> Издательский дом Высшей школы экономики, 2017. – 417 с.</w:t>
      </w:r>
      <w:r w:rsidR="00B54522">
        <w:rPr>
          <w:sz w:val="24"/>
          <w:szCs w:val="24"/>
        </w:rPr>
        <w:t xml:space="preserve"> </w:t>
      </w:r>
      <w:r w:rsidRPr="00F034DB">
        <w:rPr>
          <w:sz w:val="24"/>
          <w:szCs w:val="24"/>
        </w:rPr>
        <w:t>– URL: </w:t>
      </w:r>
      <w:hyperlink r:id="rId13" w:history="1">
        <w:r w:rsidRPr="00F034DB">
          <w:rPr>
            <w:sz w:val="24"/>
            <w:szCs w:val="24"/>
          </w:rPr>
          <w:t>https://biblioclub.ru/index.php?page=book&amp;id=471761</w:t>
        </w:r>
      </w:hyperlink>
      <w:r w:rsidRPr="00F034DB">
        <w:rPr>
          <w:sz w:val="24"/>
          <w:szCs w:val="24"/>
        </w:rPr>
        <w:t> (дата обращения: 08.</w:t>
      </w:r>
      <w:r w:rsidR="00B54522">
        <w:rPr>
          <w:sz w:val="24"/>
          <w:szCs w:val="24"/>
        </w:rPr>
        <w:t>0</w:t>
      </w:r>
      <w:r w:rsidRPr="00F034DB">
        <w:rPr>
          <w:sz w:val="24"/>
          <w:szCs w:val="24"/>
        </w:rPr>
        <w:t>2.2024). –</w:t>
      </w:r>
      <w:r w:rsidR="00B54522">
        <w:rPr>
          <w:sz w:val="24"/>
          <w:szCs w:val="24"/>
        </w:rPr>
        <w:t xml:space="preserve"> </w:t>
      </w:r>
      <w:proofErr w:type="gramStart"/>
      <w:r w:rsidRPr="00F034DB">
        <w:rPr>
          <w:sz w:val="24"/>
          <w:szCs w:val="24"/>
        </w:rPr>
        <w:t>Текст :</w:t>
      </w:r>
      <w:proofErr w:type="gramEnd"/>
      <w:r w:rsidRPr="00F034DB">
        <w:rPr>
          <w:sz w:val="24"/>
          <w:szCs w:val="24"/>
        </w:rPr>
        <w:t xml:space="preserve"> электронный.</w:t>
      </w:r>
    </w:p>
    <w:p w:rsidR="00CC290F" w:rsidRPr="00F93C02" w:rsidRDefault="00395C6F" w:rsidP="00E96612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7" w:name="_Toc184557767"/>
      <w:r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6"/>
      <w:bookmarkEnd w:id="37"/>
    </w:p>
    <w:p w:rsidR="00E01B31" w:rsidRPr="00E01B31" w:rsidRDefault="00E01B31" w:rsidP="00E96612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2"/>
        </w:rPr>
      </w:pPr>
      <w:r w:rsidRPr="00E01B31">
        <w:rPr>
          <w:sz w:val="24"/>
          <w:szCs w:val="22"/>
        </w:rPr>
        <w:t xml:space="preserve">Отечественная теория медиа: основные </w:t>
      </w:r>
      <w:proofErr w:type="gramStart"/>
      <w:r w:rsidRPr="00E01B31">
        <w:rPr>
          <w:sz w:val="24"/>
          <w:szCs w:val="22"/>
        </w:rPr>
        <w:t>понятия :</w:t>
      </w:r>
      <w:proofErr w:type="gramEnd"/>
      <w:r w:rsidRPr="00E01B31">
        <w:rPr>
          <w:sz w:val="24"/>
          <w:szCs w:val="22"/>
        </w:rPr>
        <w:t xml:space="preserve"> словарь / под ред. Е. Л. </w:t>
      </w:r>
      <w:proofErr w:type="spellStart"/>
      <w:r w:rsidRPr="00E01B31">
        <w:rPr>
          <w:sz w:val="24"/>
          <w:szCs w:val="22"/>
        </w:rPr>
        <w:t>Вартановой</w:t>
      </w:r>
      <w:proofErr w:type="spellEnd"/>
      <w:r w:rsidRPr="00E01B31">
        <w:rPr>
          <w:sz w:val="24"/>
          <w:szCs w:val="22"/>
        </w:rPr>
        <w:t xml:space="preserve">. – </w:t>
      </w:r>
      <w:proofErr w:type="gramStart"/>
      <w:r w:rsidRPr="00E01B31">
        <w:rPr>
          <w:sz w:val="24"/>
          <w:szCs w:val="22"/>
        </w:rPr>
        <w:t>М</w:t>
      </w:r>
      <w:r>
        <w:rPr>
          <w:sz w:val="24"/>
          <w:szCs w:val="22"/>
        </w:rPr>
        <w:t xml:space="preserve">осква </w:t>
      </w:r>
      <w:r w:rsidRPr="00E01B31">
        <w:rPr>
          <w:sz w:val="24"/>
          <w:szCs w:val="22"/>
        </w:rPr>
        <w:t>:</w:t>
      </w:r>
      <w:proofErr w:type="gramEnd"/>
      <w:r w:rsidRPr="00E01B31">
        <w:rPr>
          <w:sz w:val="24"/>
          <w:szCs w:val="22"/>
        </w:rPr>
        <w:t xml:space="preserve"> Фак. журн. МГУ, Изд-во </w:t>
      </w:r>
      <w:proofErr w:type="spellStart"/>
      <w:r w:rsidRPr="00E01B31">
        <w:rPr>
          <w:sz w:val="24"/>
          <w:szCs w:val="22"/>
        </w:rPr>
        <w:t>Моск</w:t>
      </w:r>
      <w:proofErr w:type="spellEnd"/>
      <w:r w:rsidRPr="00E01B31">
        <w:rPr>
          <w:sz w:val="24"/>
          <w:szCs w:val="22"/>
        </w:rPr>
        <w:t>. ун-та, 2019. – 246 с.</w:t>
      </w:r>
      <w:r>
        <w:rPr>
          <w:sz w:val="24"/>
          <w:szCs w:val="22"/>
        </w:rPr>
        <w:t xml:space="preserve"> – </w:t>
      </w:r>
      <w:proofErr w:type="gramStart"/>
      <w:r>
        <w:rPr>
          <w:sz w:val="24"/>
          <w:szCs w:val="22"/>
        </w:rPr>
        <w:t>Текст :</w:t>
      </w:r>
      <w:proofErr w:type="gramEnd"/>
      <w:r>
        <w:rPr>
          <w:sz w:val="24"/>
          <w:szCs w:val="22"/>
        </w:rPr>
        <w:t xml:space="preserve"> непосредственный.</w:t>
      </w:r>
    </w:p>
    <w:p w:rsidR="008E54E7" w:rsidRPr="00F93C02" w:rsidRDefault="00395C6F" w:rsidP="00E96612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8" w:name="_Toc184557768"/>
      <w:r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Pr="00F93C02">
        <w:rPr>
          <w:sz w:val="24"/>
          <w:szCs w:val="24"/>
        </w:rPr>
        <w:t>»</w:t>
      </w:r>
      <w:bookmarkEnd w:id="38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820"/>
        <w:gridCol w:w="4393"/>
      </w:tblGrid>
      <w:tr w:rsidR="00B34CD1" w:rsidRPr="00F93C02" w:rsidTr="00E96612">
        <w:trPr>
          <w:trHeight w:val="20"/>
        </w:trPr>
        <w:tc>
          <w:tcPr>
            <w:tcW w:w="4820" w:type="dxa"/>
          </w:tcPr>
          <w:p w:rsidR="00B34CD1" w:rsidRPr="00925171" w:rsidRDefault="00925171" w:rsidP="00E96612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Электронный научный журнал 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393" w:type="dxa"/>
          </w:tcPr>
          <w:p w:rsidR="00B34CD1" w:rsidRPr="00F93C02" w:rsidRDefault="00925171" w:rsidP="00F93C02">
            <w:pPr>
              <w:spacing w:after="0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E96612">
        <w:trPr>
          <w:trHeight w:val="20"/>
        </w:trPr>
        <w:tc>
          <w:tcPr>
            <w:tcW w:w="4820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393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E96612">
        <w:trPr>
          <w:trHeight w:val="20"/>
        </w:trPr>
        <w:tc>
          <w:tcPr>
            <w:tcW w:w="4820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393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E96612">
        <w:trPr>
          <w:trHeight w:val="20"/>
        </w:trPr>
        <w:tc>
          <w:tcPr>
            <w:tcW w:w="4820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393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39" w:name="_Toc4695172"/>
      <w:bookmarkStart w:id="40" w:name="_Toc184557769"/>
      <w:r>
        <w:rPr>
          <w:sz w:val="24"/>
          <w:szCs w:val="24"/>
        </w:rPr>
        <w:lastRenderedPageBreak/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39"/>
      <w:bookmarkEnd w:id="40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1" w:name="_Toc184557770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1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557771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2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lastRenderedPageBreak/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C4E3F">
        <w:rPr>
          <w:sz w:val="24"/>
          <w:szCs w:val="24"/>
        </w:rPr>
        <w:t>Медиаресурсы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="001C4E3F" w:rsidRPr="001C4E3F">
        <w:rPr>
          <w:sz w:val="24"/>
          <w:szCs w:val="24"/>
        </w:rPr>
        <w:t>https://edu2020.kemgik.ru/course/view.php?id=3559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3" w:name="_Toc184557772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4" w:name="_Toc4695175"/>
      <w:r w:rsidR="00CC290F" w:rsidRPr="002644D6">
        <w:rPr>
          <w:sz w:val="24"/>
          <w:szCs w:val="24"/>
        </w:rPr>
        <w:t>Перечень ключевых слов</w:t>
      </w:r>
      <w:bookmarkEnd w:id="43"/>
      <w:bookmarkEnd w:id="44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62FA" w:rsidRPr="002C62FA" w:rsidRDefault="002C62FA" w:rsidP="00E01B31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  <w:lang w:val="en-US"/>
        </w:rPr>
        <w:lastRenderedPageBreak/>
        <w:t>Google</w:t>
      </w:r>
      <w:r w:rsidRPr="00F034DB">
        <w:rPr>
          <w:sz w:val="24"/>
        </w:rPr>
        <w:t xml:space="preserve"> </w:t>
      </w:r>
      <w:r>
        <w:rPr>
          <w:sz w:val="24"/>
          <w:lang w:val="en-US"/>
        </w:rPr>
        <w:t>Analytics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Веб-аналитика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агентства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Медиаобразовательные</w:t>
      </w:r>
      <w:proofErr w:type="spellEnd"/>
      <w:r>
        <w:rPr>
          <w:sz w:val="24"/>
          <w:szCs w:val="24"/>
        </w:rPr>
        <w:t xml:space="preserve">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Онлайн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Печатные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Подкастинг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Радиоресурсы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Рейтинг </w:t>
      </w:r>
      <w:r>
        <w:rPr>
          <w:sz w:val="24"/>
          <w:lang w:val="en-US"/>
        </w:rPr>
        <w:t>Mail</w:t>
      </w:r>
      <w:r w:rsidRPr="00F034DB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Ресурс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медиа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Справочные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Стимминг</w:t>
      </w:r>
      <w:proofErr w:type="spellEnd"/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Телевизионные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Цифровые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</w:rPr>
        <w:t>Яндекс-Метрика</w:t>
      </w: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391627452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E96612" w:rsidRDefault="00E96612" w:rsidP="003820BD">
          <w:pPr>
            <w:pStyle w:val="af4"/>
            <w:tabs>
              <w:tab w:val="left" w:pos="284"/>
            </w:tabs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E96612" w:rsidRDefault="00E96612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3820BD" w:rsidRPr="003820BD" w:rsidRDefault="003820BD" w:rsidP="003820BD">
          <w:pPr>
            <w:pStyle w:val="af4"/>
            <w:tabs>
              <w:tab w:val="left" w:pos="284"/>
            </w:tabs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820BD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3820BD" w:rsidRPr="00F005F0" w:rsidRDefault="003820BD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3820BD">
            <w:fldChar w:fldCharType="begin"/>
          </w:r>
          <w:r w:rsidRPr="003820BD">
            <w:instrText xml:space="preserve"> TOC \o "1-3" \h \z \u </w:instrText>
          </w:r>
          <w:r w:rsidRPr="003820BD">
            <w:fldChar w:fldCharType="separate"/>
          </w:r>
          <w:hyperlink w:anchor="_Toc184557748" w:history="1">
            <w:r w:rsidRPr="00F005F0">
              <w:rPr>
                <w:rStyle w:val="ab"/>
                <w:noProof/>
                <w:sz w:val="24"/>
                <w:szCs w:val="24"/>
              </w:rPr>
              <w:t>1.</w:t>
            </w:r>
            <w:r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F005F0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F005F0">
              <w:rPr>
                <w:noProof/>
                <w:webHidden/>
              </w:rPr>
              <w:tab/>
            </w:r>
            <w:r w:rsidRPr="00F005F0">
              <w:rPr>
                <w:noProof/>
                <w:webHidden/>
              </w:rPr>
              <w:fldChar w:fldCharType="begin"/>
            </w:r>
            <w:r w:rsidRPr="00F005F0">
              <w:rPr>
                <w:noProof/>
                <w:webHidden/>
              </w:rPr>
              <w:instrText xml:space="preserve"> PAGEREF _Toc184557748 \h </w:instrText>
            </w:r>
            <w:r w:rsidRPr="00F005F0">
              <w:rPr>
                <w:noProof/>
                <w:webHidden/>
              </w:rPr>
            </w:r>
            <w:r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4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2.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_Toc184557749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3.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3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_Toc184557753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5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4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_Toc184557754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5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5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 xml:space="preserve">4.2.2 Структура дисциплины </w:t>
            </w:r>
            <w:bookmarkStart w:id="45" w:name="_GoBack"/>
            <w:bookmarkEnd w:id="45"/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заочной формы обучения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_Toc184557755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6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6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_Toc184557756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7" w:history="1">
            <w:r w:rsidR="003820BD" w:rsidRPr="00F005F0">
              <w:rPr>
                <w:rStyle w:val="ab"/>
                <w:noProof/>
                <w:sz w:val="24"/>
                <w:szCs w:val="24"/>
              </w:rPr>
              <w:t>5.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_Toc184557757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8" w:history="1">
            <w:r w:rsidR="003820BD" w:rsidRPr="00F005F0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_Toc184557758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6.1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6.2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9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3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6.3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_Toc184557763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9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4" w:history="1">
            <w:r w:rsidR="003820BD" w:rsidRPr="00F005F0">
              <w:rPr>
                <w:rStyle w:val="ab"/>
                <w:noProof/>
                <w:sz w:val="24"/>
                <w:szCs w:val="24"/>
              </w:rPr>
              <w:t>7.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_Toc184557764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5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_Toc184557765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6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_Toc184557766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7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_Toc184557767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8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_Toc184557768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D04B96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CA4C2A">
              <w:rPr>
                <w:noProof/>
                <w:webHidden/>
              </w:rPr>
              <w:t>12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3820BD" w:rsidRDefault="003820BD" w:rsidP="003820BD">
          <w:pPr>
            <w:tabs>
              <w:tab w:val="left" w:pos="284"/>
            </w:tabs>
            <w:rPr>
              <w:sz w:val="24"/>
              <w:szCs w:val="24"/>
            </w:rPr>
          </w:pPr>
          <w:r w:rsidRPr="003820B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133" w:rsidRDefault="003E2133" w:rsidP="00B23B23">
      <w:pPr>
        <w:spacing w:after="0" w:line="240" w:lineRule="auto"/>
      </w:pPr>
      <w:r>
        <w:separator/>
      </w:r>
    </w:p>
  </w:endnote>
  <w:endnote w:type="continuationSeparator" w:id="0">
    <w:p w:rsidR="003E2133" w:rsidRDefault="003E2133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96" w:rsidRDefault="00D04B96">
    <w:pPr>
      <w:pStyle w:val="afa"/>
      <w:jc w:val="center"/>
    </w:pPr>
  </w:p>
  <w:p w:rsidR="00D04B96" w:rsidRDefault="00D04B96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869"/>
      <w:docPartObj>
        <w:docPartGallery w:val="Page Numbers (Bottom of Page)"/>
        <w:docPartUnique/>
      </w:docPartObj>
    </w:sdtPr>
    <w:sdtContent>
      <w:p w:rsidR="00D04B96" w:rsidRDefault="00D04B96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04B96" w:rsidRDefault="00D04B96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133" w:rsidRDefault="003E2133" w:rsidP="00B23B23">
      <w:pPr>
        <w:spacing w:after="0" w:line="240" w:lineRule="auto"/>
      </w:pPr>
      <w:r>
        <w:separator/>
      </w:r>
    </w:p>
  </w:footnote>
  <w:footnote w:type="continuationSeparator" w:id="0">
    <w:p w:rsidR="003E2133" w:rsidRDefault="003E2133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4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1"/>
  </w:num>
  <w:num w:numId="3">
    <w:abstractNumId w:val="28"/>
  </w:num>
  <w:num w:numId="4">
    <w:abstractNumId w:val="15"/>
  </w:num>
  <w:num w:numId="5">
    <w:abstractNumId w:val="40"/>
  </w:num>
  <w:num w:numId="6">
    <w:abstractNumId w:val="38"/>
  </w:num>
  <w:num w:numId="7">
    <w:abstractNumId w:val="17"/>
  </w:num>
  <w:num w:numId="8">
    <w:abstractNumId w:val="39"/>
  </w:num>
  <w:num w:numId="9">
    <w:abstractNumId w:val="7"/>
  </w:num>
  <w:num w:numId="10">
    <w:abstractNumId w:val="1"/>
  </w:num>
  <w:num w:numId="11">
    <w:abstractNumId w:val="3"/>
  </w:num>
  <w:num w:numId="12">
    <w:abstractNumId w:val="36"/>
  </w:num>
  <w:num w:numId="13">
    <w:abstractNumId w:val="21"/>
  </w:num>
  <w:num w:numId="14">
    <w:abstractNumId w:val="25"/>
  </w:num>
  <w:num w:numId="15">
    <w:abstractNumId w:val="19"/>
  </w:num>
  <w:num w:numId="16">
    <w:abstractNumId w:val="10"/>
  </w:num>
  <w:num w:numId="17">
    <w:abstractNumId w:val="9"/>
  </w:num>
  <w:num w:numId="18">
    <w:abstractNumId w:val="5"/>
  </w:num>
  <w:num w:numId="19">
    <w:abstractNumId w:val="8"/>
  </w:num>
  <w:num w:numId="20">
    <w:abstractNumId w:val="26"/>
  </w:num>
  <w:num w:numId="21">
    <w:abstractNumId w:val="29"/>
  </w:num>
  <w:num w:numId="22">
    <w:abstractNumId w:val="27"/>
  </w:num>
  <w:num w:numId="23">
    <w:abstractNumId w:val="34"/>
  </w:num>
  <w:num w:numId="24">
    <w:abstractNumId w:val="33"/>
  </w:num>
  <w:num w:numId="25">
    <w:abstractNumId w:val="2"/>
  </w:num>
  <w:num w:numId="26">
    <w:abstractNumId w:val="11"/>
  </w:num>
  <w:num w:numId="27">
    <w:abstractNumId w:val="32"/>
  </w:num>
  <w:num w:numId="28">
    <w:abstractNumId w:val="12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2"/>
  </w:num>
  <w:num w:numId="32">
    <w:abstractNumId w:val="45"/>
  </w:num>
  <w:num w:numId="33">
    <w:abstractNumId w:val="24"/>
  </w:num>
  <w:num w:numId="34">
    <w:abstractNumId w:val="6"/>
  </w:num>
  <w:num w:numId="35">
    <w:abstractNumId w:val="30"/>
  </w:num>
  <w:num w:numId="36">
    <w:abstractNumId w:val="4"/>
  </w:num>
  <w:num w:numId="37">
    <w:abstractNumId w:val="44"/>
  </w:num>
  <w:num w:numId="38">
    <w:abstractNumId w:val="16"/>
  </w:num>
  <w:num w:numId="39">
    <w:abstractNumId w:val="37"/>
  </w:num>
  <w:num w:numId="40">
    <w:abstractNumId w:val="23"/>
  </w:num>
  <w:num w:numId="41">
    <w:abstractNumId w:val="13"/>
  </w:num>
  <w:num w:numId="42">
    <w:abstractNumId w:val="18"/>
  </w:num>
  <w:num w:numId="43">
    <w:abstractNumId w:val="42"/>
  </w:num>
  <w:num w:numId="44">
    <w:abstractNumId w:val="35"/>
  </w:num>
  <w:num w:numId="45">
    <w:abstractNumId w:val="31"/>
  </w:num>
  <w:num w:numId="4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D23E1"/>
    <w:rsid w:val="000E581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4E3F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3F61"/>
    <w:rsid w:val="002A6EE6"/>
    <w:rsid w:val="002C62FA"/>
    <w:rsid w:val="002D34B9"/>
    <w:rsid w:val="002D6521"/>
    <w:rsid w:val="002E2AFC"/>
    <w:rsid w:val="002E636C"/>
    <w:rsid w:val="002F5DE6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2133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1E3A"/>
    <w:rsid w:val="00474D81"/>
    <w:rsid w:val="00475B15"/>
    <w:rsid w:val="00484E85"/>
    <w:rsid w:val="00486337"/>
    <w:rsid w:val="00487B2F"/>
    <w:rsid w:val="004A1F09"/>
    <w:rsid w:val="004A3644"/>
    <w:rsid w:val="004C0D08"/>
    <w:rsid w:val="004C2B02"/>
    <w:rsid w:val="004C49F4"/>
    <w:rsid w:val="004D6841"/>
    <w:rsid w:val="004E15C6"/>
    <w:rsid w:val="004E1890"/>
    <w:rsid w:val="004F3A9B"/>
    <w:rsid w:val="004F4408"/>
    <w:rsid w:val="004F63B3"/>
    <w:rsid w:val="004F7C64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5AAA"/>
    <w:rsid w:val="00591513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3716E"/>
    <w:rsid w:val="006472CA"/>
    <w:rsid w:val="00662DD4"/>
    <w:rsid w:val="00665AE4"/>
    <w:rsid w:val="006826E5"/>
    <w:rsid w:val="00695B5D"/>
    <w:rsid w:val="006A0AA8"/>
    <w:rsid w:val="006A7420"/>
    <w:rsid w:val="006B4EF1"/>
    <w:rsid w:val="006C2017"/>
    <w:rsid w:val="006C315E"/>
    <w:rsid w:val="006D5E38"/>
    <w:rsid w:val="006E0BB3"/>
    <w:rsid w:val="006F3134"/>
    <w:rsid w:val="006F7D6A"/>
    <w:rsid w:val="007064AA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E2B0A"/>
    <w:rsid w:val="008E54E7"/>
    <w:rsid w:val="008E5D98"/>
    <w:rsid w:val="008E6F5F"/>
    <w:rsid w:val="008F2DB3"/>
    <w:rsid w:val="00906F96"/>
    <w:rsid w:val="00913E37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750F8"/>
    <w:rsid w:val="00976437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07BC"/>
    <w:rsid w:val="009F502C"/>
    <w:rsid w:val="00A31DD6"/>
    <w:rsid w:val="00A355CF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50608"/>
    <w:rsid w:val="00B54522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A4C2A"/>
    <w:rsid w:val="00CC290F"/>
    <w:rsid w:val="00CD746E"/>
    <w:rsid w:val="00CE093D"/>
    <w:rsid w:val="00CE4465"/>
    <w:rsid w:val="00CE7834"/>
    <w:rsid w:val="00D02E5C"/>
    <w:rsid w:val="00D046A8"/>
    <w:rsid w:val="00D04B96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E786D"/>
    <w:rsid w:val="00DF0722"/>
    <w:rsid w:val="00E01B31"/>
    <w:rsid w:val="00E020CC"/>
    <w:rsid w:val="00E14B8E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612"/>
    <w:rsid w:val="00E968A5"/>
    <w:rsid w:val="00E97EEE"/>
    <w:rsid w:val="00EA3E17"/>
    <w:rsid w:val="00EB56B2"/>
    <w:rsid w:val="00EC3399"/>
    <w:rsid w:val="00EC64BA"/>
    <w:rsid w:val="00ED6E98"/>
    <w:rsid w:val="00EE69DD"/>
    <w:rsid w:val="00EF3A09"/>
    <w:rsid w:val="00EF4DA9"/>
    <w:rsid w:val="00EF7961"/>
    <w:rsid w:val="00F005F0"/>
    <w:rsid w:val="00F034DB"/>
    <w:rsid w:val="00F072A9"/>
    <w:rsid w:val="00F13E5A"/>
    <w:rsid w:val="00F247FD"/>
    <w:rsid w:val="00F31CCD"/>
    <w:rsid w:val="00F372B3"/>
    <w:rsid w:val="00F4001B"/>
    <w:rsid w:val="00F40526"/>
    <w:rsid w:val="00F449DC"/>
    <w:rsid w:val="00F57078"/>
    <w:rsid w:val="00F60854"/>
    <w:rsid w:val="00F63695"/>
    <w:rsid w:val="00F7123F"/>
    <w:rsid w:val="00F811B1"/>
    <w:rsid w:val="00F821DC"/>
    <w:rsid w:val="00F862B3"/>
    <w:rsid w:val="00F93C02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695B5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717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A6EA8-B0D7-4942-82A8-9C307DC6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4404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24</cp:revision>
  <cp:lastPrinted>2025-02-27T05:21:00Z</cp:lastPrinted>
  <dcterms:created xsi:type="dcterms:W3CDTF">2024-12-05T04:50:00Z</dcterms:created>
  <dcterms:modified xsi:type="dcterms:W3CDTF">2025-02-27T05:22:00Z</dcterms:modified>
</cp:coreProperties>
</file>